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23E6" w14:textId="77777777" w:rsidR="00380C31" w:rsidRPr="00D76FA6" w:rsidRDefault="00B12150" w:rsidP="00D76FA6">
      <w:pPr>
        <w:ind w:left="0" w:firstLine="596"/>
        <w:rPr>
          <w:rFonts w:ascii="Arial" w:eastAsia="Times New Roman" w:hAnsi="Arial" w:cs="Arial"/>
          <w:b/>
          <w:bCs/>
          <w:color w:val="0E2D47"/>
          <w:sz w:val="28"/>
          <w:szCs w:val="28"/>
          <w:lang w:eastAsia="ru-RU"/>
        </w:rPr>
      </w:pPr>
      <w:r w:rsidRPr="00D76FA6">
        <w:rPr>
          <w:rFonts w:ascii="Arial" w:eastAsia="Times New Roman" w:hAnsi="Arial" w:cs="Arial"/>
          <w:b/>
          <w:bCs/>
          <w:color w:val="0E2D47"/>
          <w:sz w:val="28"/>
          <w:szCs w:val="28"/>
          <w:lang w:eastAsia="ru-RU"/>
        </w:rPr>
        <w:t>Промышленное производство в 2022 году</w:t>
      </w:r>
    </w:p>
    <w:p w14:paraId="067F08FF" w14:textId="77777777" w:rsidR="00380C31" w:rsidRPr="00D76FA6" w:rsidRDefault="00380C31" w:rsidP="00D76FA6">
      <w:pPr>
        <w:pStyle w:val="af6"/>
        <w:shd w:val="clear" w:color="auto" w:fill="FFFFFF"/>
        <w:spacing w:before="0" w:beforeAutospacing="0" w:after="0" w:afterAutospacing="0"/>
        <w:ind w:firstLine="596"/>
        <w:jc w:val="both"/>
        <w:rPr>
          <w:rFonts w:ascii="Arial" w:hAnsi="Arial" w:cs="Arial"/>
          <w:b/>
          <w:bCs/>
          <w:color w:val="0E2D47"/>
          <w:sz w:val="28"/>
          <w:szCs w:val="28"/>
        </w:rPr>
      </w:pPr>
    </w:p>
    <w:p w14:paraId="5288DB54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proofErr w:type="spellStart"/>
      <w:r w:rsidRPr="00D76FA6">
        <w:rPr>
          <w:rFonts w:ascii="Arial" w:hAnsi="Arial" w:cs="Arial"/>
          <w:color w:val="404040"/>
          <w:sz w:val="28"/>
          <w:szCs w:val="28"/>
        </w:rPr>
        <w:t>Красноярскстатом</w:t>
      </w:r>
      <w:proofErr w:type="spellEnd"/>
      <w:r w:rsidRPr="00D76FA6">
        <w:rPr>
          <w:rFonts w:ascii="Arial" w:hAnsi="Arial" w:cs="Arial"/>
          <w:color w:val="404040"/>
          <w:sz w:val="28"/>
          <w:szCs w:val="28"/>
        </w:rPr>
        <w:t xml:space="preserve"> подготовлена статистическая информация о промышленном производстве в регионах Енисейской Сибири (Красноярском крае, Республике Хакасия и Республике Тыва) в 2022 году</w:t>
      </w:r>
    </w:p>
    <w:p w14:paraId="6753044C" w14:textId="77777777" w:rsidR="00380C31" w:rsidRPr="00D76FA6" w:rsidRDefault="00380C31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</w:p>
    <w:p w14:paraId="76D8CF31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b/>
          <w:color w:val="0E2D47"/>
          <w:sz w:val="28"/>
          <w:szCs w:val="28"/>
        </w:rPr>
      </w:pPr>
      <w:r w:rsidRPr="00D76FA6">
        <w:rPr>
          <w:rFonts w:ascii="Arial" w:hAnsi="Arial" w:cs="Arial"/>
          <w:b/>
          <w:color w:val="0E2D47"/>
          <w:sz w:val="28"/>
          <w:szCs w:val="28"/>
        </w:rPr>
        <w:t>Красноярский край</w:t>
      </w:r>
    </w:p>
    <w:p w14:paraId="7691871B" w14:textId="77777777" w:rsidR="00380C31" w:rsidRPr="00D76FA6" w:rsidRDefault="00380C31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47F8FDD6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В 2022 году относительно 2021 года индекс промышленного производства в Красноярском крае составил 102,9 процента. </w:t>
      </w:r>
    </w:p>
    <w:p w14:paraId="362ECB4B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Наибольшее влияние на увеличение объемов промышленного производства оказала деятельность организаций обрабатывающих производств (индекс производства – 105,1 процента). Кроме того, отмечен значимый рост объемов выпуска продукции в сфере обеспечения электрической энергией, газом и паром, кондиционирования воздуха (104,6 процента).</w:t>
      </w:r>
    </w:p>
    <w:p w14:paraId="3C39B9D6" w14:textId="5F76736F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Увеличению объемов обрабатывающих производств, в большей степени, способствовала деятельность организаций металлургического производства (107,8 процента к 2021 году). По сравнению с</w:t>
      </w:r>
      <w:r w:rsidR="00D76FA6">
        <w:rPr>
          <w:rFonts w:ascii="Arial" w:hAnsi="Arial" w:cs="Arial"/>
          <w:color w:val="404040"/>
          <w:sz w:val="28"/>
          <w:szCs w:val="28"/>
        </w:rPr>
        <w:t xml:space="preserve"> </w:t>
      </w:r>
      <w:r w:rsidRPr="00D76FA6">
        <w:rPr>
          <w:rFonts w:ascii="Arial" w:hAnsi="Arial" w:cs="Arial"/>
          <w:color w:val="404040"/>
          <w:sz w:val="28"/>
          <w:szCs w:val="28"/>
        </w:rPr>
        <w:t>2021 годом рост объемов выпуска отмечен также в следующих видах обрабатывающих производств:</w:t>
      </w:r>
    </w:p>
    <w:p w14:paraId="0D9B2C6C" w14:textId="77777777" w:rsidR="00380C31" w:rsidRPr="00D76FA6" w:rsidRDefault="00B12150" w:rsidP="00D76FA6">
      <w:pPr>
        <w:pStyle w:val="a3"/>
        <w:widowControl w:val="0"/>
        <w:numPr>
          <w:ilvl w:val="0"/>
          <w:numId w:val="1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производство компьютеров, электронных и оптических изделий (индекс производства – 172,6 процента к 2021 году) – за счет роста производства коммуникационного оборудования;</w:t>
      </w:r>
    </w:p>
    <w:p w14:paraId="1503F15F" w14:textId="77777777" w:rsidR="00380C31" w:rsidRPr="00D76FA6" w:rsidRDefault="00B12150" w:rsidP="00D76FA6">
      <w:pPr>
        <w:pStyle w:val="a3"/>
        <w:widowControl w:val="0"/>
        <w:numPr>
          <w:ilvl w:val="0"/>
          <w:numId w:val="1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производство кокса и нефтепродуктов (115,2 процента) – увеличен выпуск бензина автомобильного, дизельного топлива, мазута топочного;</w:t>
      </w:r>
    </w:p>
    <w:p w14:paraId="534F7D96" w14:textId="77777777" w:rsidR="00380C31" w:rsidRPr="00D76FA6" w:rsidRDefault="00B12150" w:rsidP="00D76FA6">
      <w:pPr>
        <w:pStyle w:val="a3"/>
        <w:numPr>
          <w:ilvl w:val="0"/>
          <w:numId w:val="1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производство машин и оборудования, не включенных в другие группировки (137,3 процента) – увеличен выпуск машин и оборудования для металлургии;</w:t>
      </w:r>
    </w:p>
    <w:p w14:paraId="2B91C68D" w14:textId="77777777" w:rsidR="00380C31" w:rsidRPr="00D76FA6" w:rsidRDefault="00B12150" w:rsidP="00D76FA6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производство пищевых продуктов (103 процента). Выпуск плодоовощных консервов вырос на 86,8 процента, кетчупа и соусов томатных – на 47,6 процента, майонезов – на 43,4 процента, изделий макаронных и аналогичных мучных изделий – на 26,1 процента, изделий мучных кондитерских, тортов, пирожных недлительного хранения – на 23 процента, крупы – на 6,4 процента, полуфабрикатов мясных, </w:t>
      </w:r>
      <w:proofErr w:type="spellStart"/>
      <w:r w:rsidRPr="00D76FA6">
        <w:rPr>
          <w:rFonts w:ascii="Arial" w:hAnsi="Arial" w:cs="Arial"/>
          <w:color w:val="404040"/>
          <w:sz w:val="28"/>
          <w:szCs w:val="28"/>
        </w:rPr>
        <w:t>мясосодержащих</w:t>
      </w:r>
      <w:proofErr w:type="spellEnd"/>
      <w:r w:rsidRPr="00D76FA6">
        <w:rPr>
          <w:rFonts w:ascii="Arial" w:hAnsi="Arial" w:cs="Arial"/>
          <w:color w:val="404040"/>
          <w:sz w:val="28"/>
          <w:szCs w:val="28"/>
        </w:rPr>
        <w:t xml:space="preserve">, охлажденных, замороженных – на 5,8 процента, свинины, кроме субпродуктов, – на 3,7 процента, мяса и субпродуктов пищевых домашней птицы – на 3 процента. Среди молочных продуктов увеличилось производство мороженого, сметаны, масла сливочного, сыров. </w:t>
      </w:r>
    </w:p>
    <w:p w14:paraId="127AC7A6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Также вырос объем предоставленных услуг по ремонту и монтажу машин и оборудования (индекс производства – 103,2 процента к 2021 </w:t>
      </w:r>
      <w:r w:rsidRPr="00D76FA6">
        <w:rPr>
          <w:rFonts w:ascii="Arial" w:hAnsi="Arial" w:cs="Arial"/>
          <w:color w:val="404040"/>
          <w:sz w:val="28"/>
          <w:szCs w:val="28"/>
        </w:rPr>
        <w:lastRenderedPageBreak/>
        <w:t>году).</w:t>
      </w:r>
    </w:p>
    <w:p w14:paraId="0B49D62B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В сфере обеспечения электрической энергией, газом и паром, кондиционирования воздуха (индекс производства – 104,6 процента) рост объемов обусловлен деятельностью организаций по производству, передаче и распределению электроэнергии (109 процентов к 2021 году).</w:t>
      </w:r>
    </w:p>
    <w:p w14:paraId="2AA9DF34" w14:textId="73B026D4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Незначительный рост объемов производства в добыче полезных ископаемых (100,1 процента к 2021 году), в большей степени, связан с увеличением добычи угля (индекс производства – 124,7 процента к 2021 году). По сравнению с 2021 годом каменного и бурого угля в крае добыто больше на 25,6 процента. При этом, отмечено значимое снижение добычи нефти и природного газа (индекс производства – 98 процентов к 2021 году) – за</w:t>
      </w:r>
      <w:r w:rsidR="00D76FA6">
        <w:rPr>
          <w:rFonts w:ascii="Arial" w:hAnsi="Arial" w:cs="Arial"/>
          <w:color w:val="404040"/>
          <w:sz w:val="28"/>
          <w:szCs w:val="28"/>
        </w:rPr>
        <w:t xml:space="preserve"> </w:t>
      </w:r>
      <w:r w:rsidRPr="00D76FA6">
        <w:rPr>
          <w:rFonts w:ascii="Arial" w:hAnsi="Arial" w:cs="Arial"/>
          <w:color w:val="404040"/>
          <w:sz w:val="28"/>
          <w:szCs w:val="28"/>
        </w:rPr>
        <w:t>2022 год года нефти обезвоженной, обессоленной и стабилизированной, включая газовый конденсат, добыто на 2,1 процента меньше, чем в</w:t>
      </w:r>
      <w:r w:rsidR="00D76FA6">
        <w:rPr>
          <w:rFonts w:ascii="Arial" w:hAnsi="Arial" w:cs="Arial"/>
          <w:color w:val="404040"/>
          <w:sz w:val="28"/>
          <w:szCs w:val="28"/>
        </w:rPr>
        <w:t xml:space="preserve"> </w:t>
      </w:r>
      <w:r w:rsidRPr="00D76FA6">
        <w:rPr>
          <w:rFonts w:ascii="Arial" w:hAnsi="Arial" w:cs="Arial"/>
          <w:color w:val="404040"/>
          <w:sz w:val="28"/>
          <w:szCs w:val="28"/>
        </w:rPr>
        <w:t>2021 году.</w:t>
      </w:r>
    </w:p>
    <w:p w14:paraId="51E48E7A" w14:textId="596E8E79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Объемы производства в сфере водоснабжения, водоотведения, организации сбора и утилизации отходов, деятельности по ликвидации загрязнений (индекс производства – 84 процента) в большей степени снижены за счет</w:t>
      </w:r>
      <w:r w:rsidR="00D76FA6">
        <w:rPr>
          <w:rFonts w:ascii="Arial" w:hAnsi="Arial" w:cs="Arial"/>
          <w:color w:val="404040"/>
          <w:sz w:val="28"/>
          <w:szCs w:val="28"/>
        </w:rPr>
        <w:t xml:space="preserve"> </w:t>
      </w:r>
      <w:r w:rsidRPr="00D76FA6">
        <w:rPr>
          <w:rFonts w:ascii="Arial" w:hAnsi="Arial" w:cs="Arial"/>
          <w:color w:val="404040"/>
          <w:sz w:val="28"/>
          <w:szCs w:val="28"/>
        </w:rPr>
        <w:t>деятельности организаций, занятых сбором, обработкой и утилизацией отходов, обработкой вторичного сырья (81,6 процента к 2021 году).</w:t>
      </w:r>
    </w:p>
    <w:p w14:paraId="483ACE30" w14:textId="77777777" w:rsidR="00380C31" w:rsidRPr="00D76FA6" w:rsidRDefault="00380C31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1304E88C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b/>
          <w:color w:val="0E2D47"/>
          <w:sz w:val="28"/>
          <w:szCs w:val="28"/>
        </w:rPr>
      </w:pPr>
      <w:r w:rsidRPr="00D76FA6">
        <w:rPr>
          <w:rFonts w:ascii="Arial" w:hAnsi="Arial" w:cs="Arial"/>
          <w:b/>
          <w:color w:val="0E2D47"/>
          <w:sz w:val="28"/>
          <w:szCs w:val="28"/>
        </w:rPr>
        <w:t>Республика Хакасия</w:t>
      </w:r>
    </w:p>
    <w:p w14:paraId="3E5A05EC" w14:textId="77777777" w:rsidR="00380C31" w:rsidRPr="00D76FA6" w:rsidRDefault="00380C31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1EA1F804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В 2022 году относительно 2021 года индекс промышленного производства в Республике Хакасия составил 92,2 процента. </w:t>
      </w:r>
    </w:p>
    <w:p w14:paraId="46B47DA8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Объемы промышленного производства в республике снижены в большей степени за счет деятельности организаций в сфере обеспечения электрической энергией, газом и паром, кондиционирования воздуха (индекс производства – 65,4 процента). В республике сократилась выработка электроэнергии гидроэлектростанциями. Также отмечено снижение объемов добычи полезных ископаемых (93,5 процента) в связи с сокращением объемов добычи угля (93,1 процента к 2021 году). По сравнению с 2021 годом каменного угля в республике добыто меньше на 10,1 процента. </w:t>
      </w:r>
    </w:p>
    <w:p w14:paraId="15456575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По виду деятельности «Водоснабжение; водоотведение, организация сбора и утилизация отходов, деятельность по ликвидации загрязнений» (индекс производства – 85,5 процента) уменьшение объемов выпуска продукции обусловлено деятельностью организаций по сбору, обработке и утилизации отходов, обработке вторичного сырья (81,8 процента к 2021 году), забору, очистке и распределению воды (68,7 процента).</w:t>
      </w:r>
    </w:p>
    <w:p w14:paraId="225201A9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Вместе с тем в обрабатывающих производствах республики отмечен рост объемов выпуска продукции (индекс производства – 109,3 процента к 2021 году) за счет деятельности организаций в </w:t>
      </w:r>
      <w:r w:rsidRPr="00D76FA6">
        <w:rPr>
          <w:rFonts w:ascii="Arial" w:hAnsi="Arial" w:cs="Arial"/>
          <w:color w:val="404040"/>
          <w:sz w:val="28"/>
          <w:szCs w:val="28"/>
        </w:rPr>
        <w:lastRenderedPageBreak/>
        <w:t xml:space="preserve">металлургии (индекс производства – 115,3 процента). </w:t>
      </w:r>
    </w:p>
    <w:p w14:paraId="3F168729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Увеличение объемов выпуска по сравнению с 2021 годом отмечено также в следующих видах обрабатывающих производств:</w:t>
      </w:r>
    </w:p>
    <w:p w14:paraId="5E4C16C5" w14:textId="77777777" w:rsidR="00380C31" w:rsidRPr="00D76FA6" w:rsidRDefault="00B12150" w:rsidP="00D76FA6">
      <w:pPr>
        <w:widowControl w:val="0"/>
        <w:numPr>
          <w:ilvl w:val="0"/>
          <w:numId w:val="3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химических веществ и химических продуктов (индекс производства – 182 процента) – увеличен выпуск основных органических химических веществ;</w:t>
      </w:r>
    </w:p>
    <w:p w14:paraId="28126C78" w14:textId="77777777" w:rsidR="00380C31" w:rsidRPr="00D76FA6" w:rsidRDefault="00B12150" w:rsidP="00D76FA6">
      <w:pPr>
        <w:widowControl w:val="0"/>
        <w:numPr>
          <w:ilvl w:val="0"/>
          <w:numId w:val="3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прочей неметаллической минеральной продукции (127,1 процента) – увеличилось производство блоков и прочих изделий сборных строительных для зданий и сооружений из цемента, бетона или искусственного камня – на 35,8 процента, кирпича строительного (включая камни) из цемента, бетона или искусственного камня – на 3,1 процента. Увеличился выпуск кирпича керамического </w:t>
      </w:r>
      <w:proofErr w:type="spellStart"/>
      <w:r w:rsidRPr="00D76FA6">
        <w:rPr>
          <w:rFonts w:ascii="Arial" w:hAnsi="Arial" w:cs="Arial"/>
          <w:color w:val="404040"/>
          <w:sz w:val="28"/>
          <w:szCs w:val="28"/>
        </w:rPr>
        <w:t>неогнеупорного</w:t>
      </w:r>
      <w:proofErr w:type="spellEnd"/>
      <w:r w:rsidRPr="00D76FA6">
        <w:rPr>
          <w:rFonts w:ascii="Arial" w:hAnsi="Arial" w:cs="Arial"/>
          <w:color w:val="404040"/>
          <w:sz w:val="28"/>
          <w:szCs w:val="28"/>
        </w:rPr>
        <w:t xml:space="preserve"> строительного и товарного бетона;</w:t>
      </w:r>
    </w:p>
    <w:p w14:paraId="65D7F675" w14:textId="77777777" w:rsidR="00380C31" w:rsidRPr="00D76FA6" w:rsidRDefault="00B12150" w:rsidP="00D76FA6">
      <w:pPr>
        <w:widowControl w:val="0"/>
        <w:numPr>
          <w:ilvl w:val="0"/>
          <w:numId w:val="3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прочих транспортных средств и оборудования (186,2 процента);</w:t>
      </w:r>
    </w:p>
    <w:p w14:paraId="2916CF8E" w14:textId="77777777" w:rsidR="00380C31" w:rsidRPr="00D76FA6" w:rsidRDefault="00B12150" w:rsidP="00D76FA6">
      <w:pPr>
        <w:widowControl w:val="0"/>
        <w:numPr>
          <w:ilvl w:val="0"/>
          <w:numId w:val="3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напитков (105,4 процента) – за счет роста выпуска безалкогольных напитков, минеральных вод и прочих питьевых вод в бутылках;</w:t>
      </w:r>
    </w:p>
    <w:p w14:paraId="6B254763" w14:textId="77777777" w:rsidR="00380C31" w:rsidRPr="00D76FA6" w:rsidRDefault="00B12150" w:rsidP="00D76FA6">
      <w:pPr>
        <w:widowControl w:val="0"/>
        <w:numPr>
          <w:ilvl w:val="0"/>
          <w:numId w:val="3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автотранспортных средств, прицепов и полуприцепов (108 процентов) – за счет производства универсальных контейнеров общего назначения.</w:t>
      </w:r>
    </w:p>
    <w:p w14:paraId="103081C7" w14:textId="77777777" w:rsidR="00380C31" w:rsidRPr="00D76FA6" w:rsidRDefault="00380C31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b/>
          <w:color w:val="0E2D47"/>
          <w:sz w:val="28"/>
          <w:szCs w:val="28"/>
        </w:rPr>
      </w:pPr>
    </w:p>
    <w:p w14:paraId="2FEF567B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b/>
          <w:color w:val="0E2D47"/>
          <w:sz w:val="28"/>
          <w:szCs w:val="28"/>
        </w:rPr>
      </w:pPr>
      <w:r w:rsidRPr="00D76FA6">
        <w:rPr>
          <w:rFonts w:ascii="Arial" w:hAnsi="Arial" w:cs="Arial"/>
          <w:b/>
          <w:color w:val="0E2D47"/>
          <w:sz w:val="28"/>
          <w:szCs w:val="28"/>
        </w:rPr>
        <w:t>Республика Тыва</w:t>
      </w:r>
    </w:p>
    <w:p w14:paraId="0BD58674" w14:textId="77777777" w:rsidR="00380C31" w:rsidRPr="00D76FA6" w:rsidRDefault="00380C31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</w:p>
    <w:p w14:paraId="1993B47C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В 2022 году относительно 2021 года индекс промышленного производства в Республике Тыва составил 137,1 процента. </w:t>
      </w:r>
    </w:p>
    <w:p w14:paraId="527FB031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Рост объемов промышленного производства обеспечен, преимущественно, организациями, занятыми добычей полезных ископаемых (индекс производства – 147,6 процента к 2021 году), а именно – добычей угля. По сравнению с 2021 годом каменного и бурого угля в республике добыто больше в 2,2 раза. </w:t>
      </w:r>
    </w:p>
    <w:p w14:paraId="07973C05" w14:textId="5A239052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На увеличение объемов обрабатывающих производств (114,5 процента) наибольшее влияние оказала деятельность организаций по производству</w:t>
      </w:r>
      <w:r w:rsidR="00D76FA6">
        <w:rPr>
          <w:rFonts w:ascii="Arial" w:hAnsi="Arial" w:cs="Arial"/>
          <w:color w:val="404040"/>
          <w:sz w:val="28"/>
          <w:szCs w:val="28"/>
        </w:rPr>
        <w:t xml:space="preserve"> </w:t>
      </w:r>
      <w:r w:rsidRPr="00D76FA6">
        <w:rPr>
          <w:rFonts w:ascii="Arial" w:hAnsi="Arial" w:cs="Arial"/>
          <w:color w:val="404040"/>
          <w:sz w:val="28"/>
          <w:szCs w:val="28"/>
        </w:rPr>
        <w:t xml:space="preserve">текстильных изделий (рост в 2,2 раза относительно 2021 года), за счет увеличения выпуска постельного белья. </w:t>
      </w:r>
    </w:p>
    <w:p w14:paraId="4FE634BA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Кроме того, выросло производство:</w:t>
      </w:r>
    </w:p>
    <w:p w14:paraId="4D81A427" w14:textId="25DA22F2" w:rsidR="00380C31" w:rsidRPr="00D76FA6" w:rsidRDefault="00B12150" w:rsidP="00D76FA6">
      <w:pPr>
        <w:widowControl w:val="0"/>
        <w:numPr>
          <w:ilvl w:val="0"/>
          <w:numId w:val="4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прочей неметаллической минеральной продукции (индекс производства – 137,2 процента) - за счет увеличения выпуска товарного бетона на 50,9 процента, а также</w:t>
      </w:r>
      <w:r w:rsidR="00D76FA6">
        <w:rPr>
          <w:rFonts w:ascii="Arial" w:hAnsi="Arial" w:cs="Arial"/>
          <w:color w:val="404040"/>
          <w:sz w:val="28"/>
          <w:szCs w:val="28"/>
        </w:rPr>
        <w:t xml:space="preserve"> </w:t>
      </w:r>
      <w:r w:rsidRPr="00D76FA6">
        <w:rPr>
          <w:rFonts w:ascii="Arial" w:hAnsi="Arial" w:cs="Arial"/>
          <w:color w:val="404040"/>
          <w:sz w:val="28"/>
          <w:szCs w:val="28"/>
        </w:rPr>
        <w:t xml:space="preserve">блоков и прочих изделий сборных, строительных для зданий и сооружений из цемента, бетона или искусственного камня; </w:t>
      </w:r>
    </w:p>
    <w:p w14:paraId="01834B2E" w14:textId="77777777" w:rsidR="00380C31" w:rsidRPr="00D76FA6" w:rsidRDefault="00B12150" w:rsidP="00D76FA6">
      <w:pPr>
        <w:widowControl w:val="0"/>
        <w:numPr>
          <w:ilvl w:val="0"/>
          <w:numId w:val="4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пищевых продуктов (103,5 процента). Выпуск мяса и субпродуктов вырос на 41,8 процента, рыбы переработанной и консервированной, ракообразных и моллюсков – на 31 процент, </w:t>
      </w:r>
      <w:r w:rsidRPr="00D76FA6">
        <w:rPr>
          <w:rFonts w:ascii="Arial" w:hAnsi="Arial" w:cs="Arial"/>
          <w:color w:val="404040"/>
          <w:sz w:val="28"/>
          <w:szCs w:val="28"/>
        </w:rPr>
        <w:lastRenderedPageBreak/>
        <w:t xml:space="preserve">кефира – на 24,9 процента, масла сливочного и паст масляных – на 19,7 процента, молока, кроме сырого, – на 14,4 процента, творога – на 6,8 процента, изделий макаронных и аналогичных мучных изделий – на 2 процента; </w:t>
      </w:r>
    </w:p>
    <w:p w14:paraId="24E7E37A" w14:textId="77777777" w:rsidR="00380C31" w:rsidRPr="00D76FA6" w:rsidRDefault="00B12150" w:rsidP="00D76FA6">
      <w:pPr>
        <w:widowControl w:val="0"/>
        <w:numPr>
          <w:ilvl w:val="0"/>
          <w:numId w:val="4"/>
        </w:numPr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>одежды (104,7 процента) – увеличен выпуск спецодежды;</w:t>
      </w:r>
    </w:p>
    <w:p w14:paraId="6F0E88E6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color w:val="404040"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В сфере обеспечения электрической энергии, газом и паром, кондиционирования воздуха (индекс производства – 94,6 процента) снижение объемов производства обусловлено деятельностью организаций по производству, передаче и распределению электроэнергии (индекс производства составил 88,1 процента к 2021 году). </w:t>
      </w:r>
    </w:p>
    <w:p w14:paraId="1BA6D322" w14:textId="77777777" w:rsidR="00380C31" w:rsidRPr="00D76FA6" w:rsidRDefault="00B12150" w:rsidP="00D76FA6">
      <w:pPr>
        <w:widowControl w:val="0"/>
        <w:spacing w:line="240" w:lineRule="auto"/>
        <w:ind w:left="0" w:firstLine="596"/>
        <w:jc w:val="both"/>
        <w:rPr>
          <w:rFonts w:ascii="Arial" w:hAnsi="Arial" w:cs="Arial"/>
          <w:vanish/>
          <w:sz w:val="28"/>
          <w:szCs w:val="28"/>
        </w:rPr>
      </w:pPr>
      <w:r w:rsidRPr="00D76FA6">
        <w:rPr>
          <w:rFonts w:ascii="Arial" w:hAnsi="Arial" w:cs="Arial"/>
          <w:color w:val="404040"/>
          <w:sz w:val="28"/>
          <w:szCs w:val="28"/>
        </w:rPr>
        <w:t xml:space="preserve">По виду деятельности «Водоснабжение; водоотведение, организация сбора и утилизации отходов, деятельность по ликвидации загрязнений» (индекс производства – 81,2 процента) основное влияние на снижение объемов производства оказали организации по сбору и обработке сточных вод (50,4 процента к 2021 году). </w:t>
      </w:r>
    </w:p>
    <w:sectPr w:rsidR="00380C31" w:rsidRPr="00D76FA6" w:rsidSect="00D76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C622" w14:textId="77777777" w:rsidR="005C78CF" w:rsidRDefault="005C78CF">
      <w:pPr>
        <w:spacing w:line="240" w:lineRule="auto"/>
      </w:pPr>
      <w:r>
        <w:separator/>
      </w:r>
    </w:p>
  </w:endnote>
  <w:endnote w:type="continuationSeparator" w:id="0">
    <w:p w14:paraId="08448345" w14:textId="77777777" w:rsidR="005C78CF" w:rsidRDefault="005C7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7F4B" w14:textId="77777777" w:rsidR="005C78CF" w:rsidRDefault="005C78CF">
      <w:pPr>
        <w:spacing w:line="240" w:lineRule="auto"/>
      </w:pPr>
      <w:r>
        <w:separator/>
      </w:r>
    </w:p>
  </w:footnote>
  <w:footnote w:type="continuationSeparator" w:id="0">
    <w:p w14:paraId="0A0114F5" w14:textId="77777777" w:rsidR="005C78CF" w:rsidRDefault="005C7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614B"/>
    <w:multiLevelType w:val="hybridMultilevel"/>
    <w:tmpl w:val="5FEA00B2"/>
    <w:lvl w:ilvl="0" w:tplc="E626D3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067A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C042C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E697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F22C7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442E7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32D0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2AFB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186C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8B520C"/>
    <w:multiLevelType w:val="hybridMultilevel"/>
    <w:tmpl w:val="D3F86634"/>
    <w:lvl w:ilvl="0" w:tplc="3626B7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B54D3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42A3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D0C9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7C3F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9A82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6849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C2C8C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C6A6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6A293A"/>
    <w:multiLevelType w:val="hybridMultilevel"/>
    <w:tmpl w:val="7FBEFDF8"/>
    <w:lvl w:ilvl="0" w:tplc="A0E4E8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6E10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CBA00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A8BB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C678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AE0B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6A6F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A64B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C0A2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E262869"/>
    <w:multiLevelType w:val="hybridMultilevel"/>
    <w:tmpl w:val="E50CAE00"/>
    <w:lvl w:ilvl="0" w:tplc="DFA8EE74">
      <w:start w:val="1"/>
      <w:numFmt w:val="bullet"/>
      <w:lvlText w:val=""/>
      <w:lvlJc w:val="left"/>
      <w:pPr>
        <w:ind w:left="1037" w:hanging="360"/>
      </w:pPr>
      <w:rPr>
        <w:rFonts w:ascii="Symbol" w:hAnsi="Symbol"/>
        <w:color w:val="000000"/>
        <w:sz w:val="24"/>
        <w:szCs w:val="24"/>
      </w:rPr>
    </w:lvl>
    <w:lvl w:ilvl="1" w:tplc="9C20DFEC">
      <w:start w:val="1"/>
      <w:numFmt w:val="bullet"/>
      <w:lvlText w:val="o"/>
      <w:lvlJc w:val="left"/>
      <w:pPr>
        <w:ind w:left="1757" w:hanging="360"/>
      </w:pPr>
      <w:rPr>
        <w:rFonts w:ascii="Courier New" w:hAnsi="Courier New"/>
      </w:rPr>
    </w:lvl>
    <w:lvl w:ilvl="2" w:tplc="17F209D6">
      <w:start w:val="1"/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 w:tplc="C68094B0">
      <w:start w:val="1"/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 w:tplc="9F843C38">
      <w:start w:val="1"/>
      <w:numFmt w:val="bullet"/>
      <w:lvlText w:val="o"/>
      <w:lvlJc w:val="left"/>
      <w:pPr>
        <w:ind w:left="3917" w:hanging="360"/>
      </w:pPr>
      <w:rPr>
        <w:rFonts w:ascii="Courier New" w:hAnsi="Courier New"/>
      </w:rPr>
    </w:lvl>
    <w:lvl w:ilvl="5" w:tplc="AE9E737E">
      <w:start w:val="1"/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 w:tplc="29306F24">
      <w:start w:val="1"/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 w:tplc="3E1E5840">
      <w:start w:val="1"/>
      <w:numFmt w:val="bullet"/>
      <w:lvlText w:val="o"/>
      <w:lvlJc w:val="left"/>
      <w:pPr>
        <w:ind w:left="6077" w:hanging="360"/>
      </w:pPr>
      <w:rPr>
        <w:rFonts w:ascii="Courier New" w:hAnsi="Courier New"/>
      </w:rPr>
    </w:lvl>
    <w:lvl w:ilvl="8" w:tplc="21168C58">
      <w:start w:val="1"/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num w:numId="1" w16cid:durableId="1731880515">
    <w:abstractNumId w:val="1"/>
  </w:num>
  <w:num w:numId="2" w16cid:durableId="325980043">
    <w:abstractNumId w:val="3"/>
  </w:num>
  <w:num w:numId="3" w16cid:durableId="679619375">
    <w:abstractNumId w:val="2"/>
  </w:num>
  <w:num w:numId="4" w16cid:durableId="33688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C31"/>
    <w:rsid w:val="00380C31"/>
    <w:rsid w:val="005C78CF"/>
    <w:rsid w:val="009711E1"/>
    <w:rsid w:val="00B12150"/>
    <w:rsid w:val="00D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D040"/>
  <w15:docId w15:val="{692AB9C5-02D2-46DC-8003-3B87B08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0C31"/>
    <w:pPr>
      <w:spacing w:line="252" w:lineRule="auto"/>
      <w:ind w:left="113" w:hanging="11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380C3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380C3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80C3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380C3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80C3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380C3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80C3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380C3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80C3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380C3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80C31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sid w:val="00380C3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80C3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sid w:val="00380C3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80C31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sid w:val="00380C3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80C3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380C3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link w:val="a4"/>
    <w:rsid w:val="00380C31"/>
    <w:pPr>
      <w:ind w:left="720"/>
      <w:contextualSpacing/>
    </w:pPr>
  </w:style>
  <w:style w:type="paragraph" w:styleId="a5">
    <w:name w:val="No Spacing"/>
    <w:uiPriority w:val="1"/>
    <w:qFormat/>
    <w:rsid w:val="00380C31"/>
  </w:style>
  <w:style w:type="paragraph" w:styleId="a6">
    <w:name w:val="Title"/>
    <w:basedOn w:val="a"/>
    <w:next w:val="a"/>
    <w:link w:val="a7"/>
    <w:uiPriority w:val="10"/>
    <w:qFormat/>
    <w:rsid w:val="00380C3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380C31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80C3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380C3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80C3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80C31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80C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80C3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380C31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1"/>
    <w:uiPriority w:val="99"/>
    <w:rsid w:val="00380C31"/>
  </w:style>
  <w:style w:type="paragraph" w:customStyle="1" w:styleId="10">
    <w:name w:val="Нижний колонтитул1"/>
    <w:basedOn w:val="a"/>
    <w:link w:val="CaptionChar"/>
    <w:uiPriority w:val="99"/>
    <w:unhideWhenUsed/>
    <w:rsid w:val="00380C31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uiPriority w:val="99"/>
    <w:rsid w:val="00380C3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380C3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380C31"/>
  </w:style>
  <w:style w:type="table" w:styleId="ac">
    <w:name w:val="Table Grid"/>
    <w:uiPriority w:val="59"/>
    <w:rsid w:val="00380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80C3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80C3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380C3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380C3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80C3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80C3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80C3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80C3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80C3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80C3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80C3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80C3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80C3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80C3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380C3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80C3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80C3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80C3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80C3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80C3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80C3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80C3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80C3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80C3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80C3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80C3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80C31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80C3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380C31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380C31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380C31"/>
    <w:rPr>
      <w:sz w:val="18"/>
    </w:rPr>
  </w:style>
  <w:style w:type="character" w:styleId="af0">
    <w:name w:val="footnote reference"/>
    <w:uiPriority w:val="99"/>
    <w:unhideWhenUsed/>
    <w:rsid w:val="00380C31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380C31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380C31"/>
    <w:rPr>
      <w:sz w:val="20"/>
    </w:rPr>
  </w:style>
  <w:style w:type="character" w:styleId="af3">
    <w:name w:val="endnote reference"/>
    <w:uiPriority w:val="99"/>
    <w:semiHidden/>
    <w:unhideWhenUsed/>
    <w:rsid w:val="00380C3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380C31"/>
    <w:pPr>
      <w:spacing w:after="57"/>
      <w:ind w:left="0" w:firstLine="0"/>
    </w:pPr>
  </w:style>
  <w:style w:type="paragraph" w:styleId="22">
    <w:name w:val="toc 2"/>
    <w:basedOn w:val="a"/>
    <w:next w:val="a"/>
    <w:uiPriority w:val="39"/>
    <w:unhideWhenUsed/>
    <w:rsid w:val="00380C31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380C31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380C31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380C31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380C31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380C31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380C31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380C31"/>
    <w:pPr>
      <w:spacing w:after="57"/>
      <w:ind w:left="2268" w:firstLine="0"/>
    </w:pPr>
  </w:style>
  <w:style w:type="paragraph" w:styleId="af4">
    <w:name w:val="TOC Heading"/>
    <w:uiPriority w:val="39"/>
    <w:unhideWhenUsed/>
    <w:rsid w:val="00380C31"/>
  </w:style>
  <w:style w:type="paragraph" w:styleId="af5">
    <w:name w:val="table of figures"/>
    <w:basedOn w:val="a"/>
    <w:next w:val="a"/>
    <w:uiPriority w:val="99"/>
    <w:unhideWhenUsed/>
    <w:rsid w:val="00380C31"/>
  </w:style>
  <w:style w:type="paragraph" w:styleId="af6">
    <w:name w:val="Normal (Web)"/>
    <w:basedOn w:val="a"/>
    <w:rsid w:val="00380C3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rsid w:val="00380C31"/>
  </w:style>
  <w:style w:type="paragraph" w:styleId="af7">
    <w:name w:val="Balloon Text"/>
    <w:basedOn w:val="a"/>
    <w:link w:val="af8"/>
    <w:semiHidden/>
    <w:rsid w:val="00380C3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80C31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6507</Characters>
  <DocSecurity>0</DocSecurity>
  <Lines>54</Lines>
  <Paragraphs>15</Paragraphs>
  <ScaleCrop>false</ScaleCrop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2023-02-13T06:52:00Z</dcterms:created>
  <dcterms:modified xsi:type="dcterms:W3CDTF">2023-02-13T07:40:00Z</dcterms:modified>
</cp:coreProperties>
</file>